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0C1" w14:textId="40718272" w:rsidR="00796658" w:rsidRPr="00370F44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  <w:r w:rsidRPr="00E84D67">
        <w:rPr>
          <w:rFonts w:ascii="BundesSerif Office" w:eastAsia="BundesSerif Office" w:hAnsi="BundesSerif Office" w:cs="Times New Roman"/>
          <w:b/>
          <w:i/>
        </w:rPr>
        <w:t xml:space="preserve">Eigenerklärung zu den EU-Russlandsanktionen </w:t>
      </w:r>
    </w:p>
    <w:p w14:paraId="72E31B8A" w14:textId="77777777" w:rsidR="00E84D67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</w:p>
    <w:p w14:paraId="286E99EE" w14:textId="70CDA11C" w:rsidR="00796658" w:rsidRPr="003F0487" w:rsidRDefault="00590EB0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 xml:space="preserve">Diese </w:t>
      </w:r>
      <w:r w:rsidR="00CC6A6F">
        <w:rPr>
          <w:rFonts w:ascii="BundesSerif Office" w:eastAsia="BundesSerif Office" w:hAnsi="BundesSerif Office" w:cs="Times New Roman"/>
        </w:rPr>
        <w:t>Eigene</w:t>
      </w:r>
      <w:r>
        <w:rPr>
          <w:rFonts w:ascii="BundesSerif Office" w:eastAsia="BundesSerif Office" w:hAnsi="BundesSerif Office" w:cs="Times New Roman"/>
        </w:rPr>
        <w:t>rklärung</w:t>
      </w:r>
      <w:r w:rsidR="00E218E9">
        <w:rPr>
          <w:rFonts w:ascii="BundesSerif Office" w:eastAsia="BundesSerif Office" w:hAnsi="BundesSerif Office" w:cs="Times New Roman"/>
        </w:rPr>
        <w:t xml:space="preserve"> ist</w:t>
      </w:r>
      <w:r w:rsidR="003A335A">
        <w:rPr>
          <w:rFonts w:ascii="BundesSerif Office" w:eastAsia="BundesSerif Office" w:hAnsi="BundesSerif Office" w:cs="Times New Roman"/>
        </w:rPr>
        <w:t xml:space="preserve"> </w:t>
      </w:r>
      <w:r w:rsidR="00796658" w:rsidRPr="003F0487">
        <w:rPr>
          <w:rFonts w:ascii="BundesSerif Office" w:eastAsia="BundesSerif Office" w:hAnsi="BundesSerif Office" w:cs="Times New Roman"/>
        </w:rPr>
        <w:t>von allen Bewerbern / Bietern / allen Mitgliedern von Bewerber- bzw. Bietergemeinschaften</w:t>
      </w:r>
      <w:r w:rsidR="00E218E9">
        <w:rPr>
          <w:rFonts w:ascii="BundesSerif Office" w:eastAsia="BundesSerif Office" w:hAnsi="BundesSerif Office" w:cs="Times New Roman"/>
        </w:rPr>
        <w:t xml:space="preserve"> auszufüllen.</w:t>
      </w:r>
    </w:p>
    <w:p w14:paraId="6E2AE334" w14:textId="77777777" w:rsidR="0007174E" w:rsidRDefault="0007174E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41B99EC7" w14:textId="746E8E2D" w:rsidR="007D3C88" w:rsidRPr="005870CD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i/>
          <w:iCs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eastAsia="BundesSerif Office" w:hAnsi="BundesSerif Office" w:cs="Times New Roman"/>
          <w:b/>
        </w:rPr>
        <w:t>Schwimmbagger</w:t>
      </w:r>
      <w:bookmarkEnd w:id="0"/>
    </w:p>
    <w:p w14:paraId="361413AE" w14:textId="37B8810A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Geschäftszeichen des Auftraggebers:</w:t>
      </w:r>
      <w:r w:rsidR="00535D6A"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eastAsia="BundesSerif Office" w:hAnsi="BundesSerif Office" w:cs="Times New Roman"/>
          <w:b/>
        </w:rPr>
        <w:t>10015390</w:t>
      </w:r>
      <w:bookmarkEnd w:id="1"/>
    </w:p>
    <w:p w14:paraId="3B43DA58" w14:textId="77777777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51C3D88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73EBD8E2" w14:textId="548D2B9C" w:rsidR="00796658" w:rsidRPr="003F0487" w:rsidRDefault="0017008B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6D4CC4">
        <w:rPr>
          <w:rFonts w:ascii="BundesSerif Office" w:eastAsia="BundesSerif Office" w:hAnsi="BundesSerif Office" w:cs="Times New Roman"/>
        </w:rPr>
        <w:t xml:space="preserve">in </w:t>
      </w:r>
      <w:r w:rsidRPr="006D4CC4">
        <w:rPr>
          <w:rFonts w:ascii="BundesSerif Office" w:eastAsia="BundesSerif Office" w:hAnsi="BundesSerif Office" w:cs="Times New Roman"/>
          <w:b/>
          <w:bCs/>
        </w:rPr>
        <w:t>Artikel 5 k)</w:t>
      </w:r>
      <w:r w:rsidRPr="006D4CC4">
        <w:rPr>
          <w:rFonts w:ascii="BundesSerif Office" w:eastAsia="BundesSerif Office" w:hAnsi="BundesSerif Office" w:cs="Times New Roman"/>
        </w:rPr>
        <w:t xml:space="preserve"> Absatz 1 der </w:t>
      </w:r>
      <w:hyperlink r:id="rId8" w:history="1">
        <w:r w:rsidRPr="006D4CC4">
          <w:rPr>
            <w:rStyle w:val="Hyperlink"/>
            <w:rFonts w:ascii="BundesSerif Office" w:eastAsia="BundesSerif Office" w:hAnsi="BundesSerif Office" w:cs="Times New Roman"/>
          </w:rPr>
          <w:t>Verordnung (EU) Nr. 833/2014</w:t>
        </w:r>
      </w:hyperlink>
      <w:r w:rsidRPr="006D4CC4">
        <w:rPr>
          <w:rFonts w:ascii="BundesSerif Office" w:eastAsia="BundesSerif Office" w:hAnsi="BundesSerif Office" w:cs="Times New Roman"/>
        </w:rPr>
        <w:t xml:space="preserve"> über restriktive Maßnahmen angesichts der Handlungen Russlands, die die Lage in der Ukraine destabilisieren in der jeweils geltenden Fassung</w:t>
      </w:r>
      <w:r w:rsidR="003D7DAA">
        <w:rPr>
          <w:rStyle w:val="Funotenzeichen"/>
          <w:rFonts w:ascii="BundesSerif Office" w:eastAsia="BundesSerif Office" w:hAnsi="BundesSerif Office" w:cs="Times New Roman"/>
        </w:rPr>
        <w:footnoteReference w:id="2"/>
      </w:r>
      <w:r w:rsidRPr="006D4CC4">
        <w:rPr>
          <w:rFonts w:ascii="BundesSerif Office" w:eastAsia="BundesSerif Office" w:hAnsi="BundesSerif Office" w:cs="Times New Roman"/>
        </w:rPr>
        <w:t>,</w:t>
      </w:r>
    </w:p>
    <w:p w14:paraId="39EC534F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3A44C542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4FDBBCE7" w14:textId="77777777" w:rsidR="00796658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3BEACFE5" w14:textId="77777777" w:rsidR="00796658" w:rsidRPr="003F0487" w:rsidRDefault="00796658" w:rsidP="007D3C88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A366633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7D63FD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160A0E">
              <w:rPr>
                <w:rFonts w:cs="Arial"/>
                <w:color w:val="auto"/>
                <w:lang w:val="de-DE" w:eastAsia="en-US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2469AE89" w:rsidR="007D63FD" w:rsidRPr="002D562E" w:rsidRDefault="005969FA" w:rsidP="00C9116B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/>
              </w:rPr>
              <w:t>Verfasseran</w:t>
            </w:r>
            <w:r w:rsidR="006B6440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160A0E">
              <w:rPr>
                <w:rFonts w:cs="Arial"/>
                <w:color w:val="auto"/>
                <w:lang w:val="de-DE"/>
              </w:rPr>
              <w:t xml:space="preserve"> </w:t>
            </w:r>
            <w:r w:rsidR="005B6A28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160A0E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6897947A" w14:textId="135A565F" w:rsidR="00796658" w:rsidRPr="00370F44" w:rsidRDefault="00796658" w:rsidP="00910987">
      <w:pPr>
        <w:spacing w:after="200" w:line="276" w:lineRule="auto"/>
        <w:jc w:val="both"/>
        <w:rPr>
          <w:sz w:val="20"/>
          <w:szCs w:val="20"/>
        </w:rPr>
      </w:pPr>
    </w:p>
    <w:sectPr w:rsidR="00796658" w:rsidRPr="00370F44" w:rsidSect="007D3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28F2" w14:textId="77777777" w:rsidR="005708C2" w:rsidRDefault="005708C2" w:rsidP="00E0714A">
      <w:r>
        <w:separator/>
      </w:r>
    </w:p>
  </w:endnote>
  <w:endnote w:type="continuationSeparator" w:id="0">
    <w:p w14:paraId="1383F736" w14:textId="77777777" w:rsidR="005708C2" w:rsidRDefault="005708C2" w:rsidP="00E0714A">
      <w:r>
        <w:continuationSeparator/>
      </w:r>
    </w:p>
  </w:endnote>
  <w:endnote w:type="continuationNotice" w:id="1">
    <w:p w14:paraId="118CCED3" w14:textId="77777777" w:rsidR="005708C2" w:rsidRDefault="0057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5A41" w14:textId="77777777" w:rsidR="00ED4632" w:rsidRDefault="00ED46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75DF498B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9C682F">
            <w:rPr>
              <w:sz w:val="18"/>
              <w:szCs w:val="18"/>
            </w:rPr>
            <w:t xml:space="preserve">September </w:t>
          </w:r>
          <w:r w:rsidR="008506BA">
            <w:rPr>
              <w:sz w:val="18"/>
              <w:szCs w:val="18"/>
            </w:rPr>
            <w:t>202</w:t>
          </w:r>
          <w:r w:rsidR="009C682F">
            <w:rPr>
              <w:sz w:val="18"/>
              <w:szCs w:val="18"/>
            </w:rPr>
            <w:t>4</w:t>
          </w: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560" w14:textId="77777777" w:rsidR="00ED4632" w:rsidRDefault="00ED4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C4C1" w14:textId="77777777" w:rsidR="005708C2" w:rsidRDefault="005708C2" w:rsidP="00E0714A">
      <w:r>
        <w:separator/>
      </w:r>
    </w:p>
  </w:footnote>
  <w:footnote w:type="continuationSeparator" w:id="0">
    <w:p w14:paraId="2493D530" w14:textId="77777777" w:rsidR="005708C2" w:rsidRDefault="005708C2" w:rsidP="00E0714A">
      <w:r>
        <w:continuationSeparator/>
      </w:r>
    </w:p>
  </w:footnote>
  <w:footnote w:type="continuationNotice" w:id="1">
    <w:p w14:paraId="31327588" w14:textId="77777777" w:rsidR="005708C2" w:rsidRDefault="005708C2"/>
  </w:footnote>
  <w:footnote w:id="2">
    <w:p w14:paraId="7F85607C" w14:textId="769297B2" w:rsidR="003D7DAA" w:rsidRDefault="003D7D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83448A">
          <w:rPr>
            <w:rStyle w:val="Hyperlink"/>
            <w:rFonts w:ascii="BundesSerif Office" w:eastAsia="BundesSerif Office" w:hAnsi="BundesSerif Office" w:cs="Times New Roman"/>
            <w:sz w:val="16"/>
            <w:szCs w:val="16"/>
          </w:rPr>
          <w:t>hier</w:t>
        </w:r>
      </w:hyperlink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zu finden. Dabei ist darauf zu achten, dass die </w:t>
      </w:r>
      <w:proofErr w:type="gramStart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>aktuellste</w:t>
      </w:r>
      <w:proofErr w:type="gramEnd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CEC8" w14:textId="77777777" w:rsidR="00ED4632" w:rsidRDefault="00ED4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6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5"/>
      <w:gridCol w:w="2779"/>
    </w:tblGrid>
    <w:tr w:rsidR="00703906" w:rsidRPr="00703906" w14:paraId="5ED9E8C0" w14:textId="77777777" w:rsidTr="00C12A9C">
      <w:trPr>
        <w:trHeight w:val="1200"/>
      </w:trPr>
      <w:tc>
        <w:tcPr>
          <w:tcW w:w="3497" w:type="pct"/>
        </w:tcPr>
        <w:p w14:paraId="76CFC126" w14:textId="188D424A" w:rsidR="00703906" w:rsidRPr="00703906" w:rsidRDefault="00ED4632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1B31C18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03B952EE" wp14:editId="77AF3978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2FAFE" w14:textId="01D0FD2D" w:rsidR="00703906" w:rsidRPr="00703906" w:rsidRDefault="00703906" w:rsidP="00C12A9C">
    <w:pPr>
      <w:tabs>
        <w:tab w:val="left" w:pos="939"/>
      </w:tabs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C043" w14:textId="77777777" w:rsidR="00ED4632" w:rsidRDefault="00ED46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3CD5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22A30"/>
    <w:rsid w:val="00137DB2"/>
    <w:rsid w:val="0015159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71D"/>
    <w:rsid w:val="002A036A"/>
    <w:rsid w:val="002A4262"/>
    <w:rsid w:val="002C30B1"/>
    <w:rsid w:val="002E0289"/>
    <w:rsid w:val="0031121C"/>
    <w:rsid w:val="00325A7D"/>
    <w:rsid w:val="003326A0"/>
    <w:rsid w:val="00333168"/>
    <w:rsid w:val="00340F14"/>
    <w:rsid w:val="003414B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73DB"/>
    <w:rsid w:val="0040225C"/>
    <w:rsid w:val="004120CB"/>
    <w:rsid w:val="004141AE"/>
    <w:rsid w:val="00437FFE"/>
    <w:rsid w:val="00455809"/>
    <w:rsid w:val="0046090D"/>
    <w:rsid w:val="00465ADD"/>
    <w:rsid w:val="00466838"/>
    <w:rsid w:val="00484510"/>
    <w:rsid w:val="00485DA7"/>
    <w:rsid w:val="00487C76"/>
    <w:rsid w:val="0049065D"/>
    <w:rsid w:val="004A4004"/>
    <w:rsid w:val="004A418F"/>
    <w:rsid w:val="004A51C0"/>
    <w:rsid w:val="004A52A3"/>
    <w:rsid w:val="004C439C"/>
    <w:rsid w:val="004E23C0"/>
    <w:rsid w:val="004F24B8"/>
    <w:rsid w:val="0050374A"/>
    <w:rsid w:val="0050743C"/>
    <w:rsid w:val="005077FF"/>
    <w:rsid w:val="00535D6A"/>
    <w:rsid w:val="00543943"/>
    <w:rsid w:val="005449A0"/>
    <w:rsid w:val="00565ED7"/>
    <w:rsid w:val="005708C2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9011B"/>
    <w:rsid w:val="00691EC9"/>
    <w:rsid w:val="00694885"/>
    <w:rsid w:val="006A725E"/>
    <w:rsid w:val="006B6440"/>
    <w:rsid w:val="006D1553"/>
    <w:rsid w:val="006D239A"/>
    <w:rsid w:val="006E334F"/>
    <w:rsid w:val="00703906"/>
    <w:rsid w:val="00710B50"/>
    <w:rsid w:val="00715B07"/>
    <w:rsid w:val="00731950"/>
    <w:rsid w:val="00736374"/>
    <w:rsid w:val="007503FF"/>
    <w:rsid w:val="007511C2"/>
    <w:rsid w:val="007553C6"/>
    <w:rsid w:val="00756819"/>
    <w:rsid w:val="00757DC7"/>
    <w:rsid w:val="007765A8"/>
    <w:rsid w:val="00777255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237D6"/>
    <w:rsid w:val="00830CA0"/>
    <w:rsid w:val="00831845"/>
    <w:rsid w:val="0083448A"/>
    <w:rsid w:val="008506BA"/>
    <w:rsid w:val="00854088"/>
    <w:rsid w:val="008541D2"/>
    <w:rsid w:val="00856C0D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76D8"/>
    <w:rsid w:val="00920F70"/>
    <w:rsid w:val="009278D0"/>
    <w:rsid w:val="0097356B"/>
    <w:rsid w:val="009773D9"/>
    <w:rsid w:val="00983008"/>
    <w:rsid w:val="009A7733"/>
    <w:rsid w:val="009C1BFD"/>
    <w:rsid w:val="009C3375"/>
    <w:rsid w:val="009C338B"/>
    <w:rsid w:val="009C682F"/>
    <w:rsid w:val="009F57A7"/>
    <w:rsid w:val="00A06479"/>
    <w:rsid w:val="00A07220"/>
    <w:rsid w:val="00A2200C"/>
    <w:rsid w:val="00A50D94"/>
    <w:rsid w:val="00A5433F"/>
    <w:rsid w:val="00A55519"/>
    <w:rsid w:val="00A5618F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55E7"/>
    <w:rsid w:val="00B51AE9"/>
    <w:rsid w:val="00B574B1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31333"/>
    <w:rsid w:val="00C31AD8"/>
    <w:rsid w:val="00C362D2"/>
    <w:rsid w:val="00C431A5"/>
    <w:rsid w:val="00C432A7"/>
    <w:rsid w:val="00C43842"/>
    <w:rsid w:val="00C668C2"/>
    <w:rsid w:val="00C66C3A"/>
    <w:rsid w:val="00C7020E"/>
    <w:rsid w:val="00C7174D"/>
    <w:rsid w:val="00C84CE1"/>
    <w:rsid w:val="00C87025"/>
    <w:rsid w:val="00C87768"/>
    <w:rsid w:val="00CB282C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72C12"/>
    <w:rsid w:val="00D8490B"/>
    <w:rsid w:val="00D87D50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36C81"/>
    <w:rsid w:val="00E40C22"/>
    <w:rsid w:val="00E4563F"/>
    <w:rsid w:val="00E46116"/>
    <w:rsid w:val="00E51412"/>
    <w:rsid w:val="00E51F45"/>
    <w:rsid w:val="00E6668B"/>
    <w:rsid w:val="00E66CD6"/>
    <w:rsid w:val="00E83F49"/>
    <w:rsid w:val="00E84D67"/>
    <w:rsid w:val="00E93D84"/>
    <w:rsid w:val="00EC70FD"/>
    <w:rsid w:val="00ED4632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eur-lex.europa.eu/legal-content/EN/TXT/?uri=CELEX:02014R0833-20231001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2024-09-03T15:37:00Z</dcterms:created>
  <dc:creator>Mirjam Hannah Steinfeld</dc:creator>
  <cp:lastModifiedBy>Stephan Vielhaber</cp:lastModifiedBy>
  <cp:lastPrinted>2022-04-27T12:42:00Z</cp:lastPrinted>
  <dcterms:modified xsi:type="dcterms:W3CDTF">2025-03-28T10:20:00Z</dcterms:modified>
  <cp:revision>22</cp:revision>
</cp:coreProperties>
</file>